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F9" w:rsidRPr="00826ED9" w:rsidRDefault="00796DF9" w:rsidP="00826ED9">
      <w:pPr>
        <w:pStyle w:val="a3"/>
        <w:ind w:left="560" w:hanging="560"/>
        <w:rPr>
          <w:sz w:val="28"/>
        </w:rPr>
      </w:pPr>
      <w:bookmarkStart w:id="0" w:name="_Toc312084093"/>
      <w:bookmarkStart w:id="1" w:name="_Toc316072033"/>
      <w:bookmarkStart w:id="2" w:name="_Toc316072259"/>
      <w:r w:rsidRPr="00826ED9">
        <w:rPr>
          <w:sz w:val="28"/>
        </w:rPr>
        <w:t>100</w:t>
      </w:r>
      <w:r w:rsidRPr="00826ED9">
        <w:rPr>
          <w:rFonts w:hAnsi="標楷體"/>
          <w:sz w:val="28"/>
        </w:rPr>
        <w:t>學年度工業教育教學碩士班課程架構</w:t>
      </w:r>
      <w:bookmarkEnd w:id="0"/>
      <w:bookmarkEnd w:id="1"/>
      <w:bookmarkEnd w:id="2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960"/>
        <w:gridCol w:w="4140"/>
      </w:tblGrid>
      <w:tr w:rsidR="00796DF9" w:rsidRPr="00F95718" w:rsidTr="002548B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468" w:type="dxa"/>
            <w:tcBorders>
              <w:bottom w:val="double" w:sz="4" w:space="0" w:color="auto"/>
              <w:tl2br w:val="single" w:sz="4" w:space="0" w:color="auto"/>
            </w:tcBorders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left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      課程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left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年級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必修課程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學分/時數</w:t>
            </w:r>
            <w:r w:rsidRPr="00F95718">
              <w:rPr>
                <w:rFonts w:ascii="標楷體" w:hAnsi="標楷體"/>
                <w:sz w:val="24"/>
              </w:rPr>
              <w:t>)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選修課程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學分/時數</w:t>
            </w:r>
            <w:r w:rsidRPr="00F95718">
              <w:rPr>
                <w:rFonts w:ascii="標楷體" w:hAnsi="標楷體"/>
                <w:sz w:val="24"/>
              </w:rPr>
              <w:t>)</w:t>
            </w:r>
          </w:p>
        </w:tc>
      </w:tr>
      <w:tr w:rsidR="00796DF9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2290"/>
          <w:jc w:val="center"/>
        </w:trPr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碩</w:t>
            </w:r>
            <w:proofErr w:type="gramEnd"/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一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教育統計</w:t>
            </w:r>
            <w:r w:rsidRPr="00F95718">
              <w:rPr>
                <w:rFonts w:ascii="標楷體" w:hAnsi="標楷體"/>
                <w:sz w:val="24"/>
              </w:rPr>
              <w:t>(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一</w:t>
            </w:r>
            <w:proofErr w:type="gramEnd"/>
            <w:r w:rsidRPr="00F95718">
              <w:rPr>
                <w:rFonts w:ascii="標楷體" w:hAnsi="標楷體"/>
                <w:sz w:val="24"/>
              </w:rPr>
              <w:t>)（2/2）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技職教育研究法</w:t>
            </w:r>
            <w:r w:rsidRPr="00F95718">
              <w:rPr>
                <w:rFonts w:ascii="標楷體" w:hAnsi="標楷體"/>
                <w:sz w:val="24"/>
              </w:rPr>
              <w:t>(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一</w:t>
            </w:r>
            <w:proofErr w:type="gramEnd"/>
            <w:r w:rsidRPr="00F95718">
              <w:rPr>
                <w:rFonts w:ascii="標楷體" w:hAnsi="標楷體"/>
                <w:sz w:val="24"/>
              </w:rPr>
              <w:t>)（2/2）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技職教育理論</w:t>
            </w:r>
            <w:r w:rsidRPr="00F95718">
              <w:rPr>
                <w:rFonts w:ascii="標楷體" w:hAnsi="標楷體"/>
                <w:sz w:val="24"/>
              </w:rPr>
              <w:t>(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一</w:t>
            </w:r>
            <w:proofErr w:type="gramEnd"/>
            <w:r w:rsidRPr="00F95718">
              <w:rPr>
                <w:rFonts w:ascii="標楷體" w:hAnsi="標楷體"/>
                <w:sz w:val="24"/>
              </w:rPr>
              <w:t>)（2/2）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技職教育教學設計（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書報討論</w:t>
            </w:r>
            <w:r w:rsidRPr="00F95718">
              <w:rPr>
                <w:rFonts w:ascii="標楷體" w:hAnsi="標楷體"/>
                <w:sz w:val="24"/>
              </w:rPr>
              <w:t>(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一</w:t>
            </w:r>
            <w:proofErr w:type="gramEnd"/>
            <w:r w:rsidRPr="00F95718">
              <w:rPr>
                <w:rFonts w:ascii="標楷體" w:hAnsi="標楷體"/>
                <w:sz w:val="24"/>
              </w:rPr>
              <w:t>)（1/1）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</w:tcBorders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網際網路程式設計應用（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人力資源管理（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電腦在技職教育研究的應用（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教育統計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二</w:t>
            </w:r>
            <w:r w:rsidRPr="00F95718">
              <w:rPr>
                <w:rFonts w:ascii="標楷體" w:hAnsi="標楷體"/>
                <w:sz w:val="24"/>
              </w:rPr>
              <w:t>)（2/2）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學習理論（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電腦輔助教學理論與實務（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技職教育評鑑（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組織理論與管理（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生涯輔導（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職業訓練專題研究（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職業教育專題研究（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技職教育行政（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技職教育視導（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比較職業教育（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領導理論與實務（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教育經濟學（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■論文寫作（2/2）</w:t>
            </w:r>
          </w:p>
        </w:tc>
      </w:tr>
      <w:tr w:rsidR="00796DF9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2339"/>
          <w:jc w:val="center"/>
        </w:trPr>
        <w:tc>
          <w:tcPr>
            <w:tcW w:w="1468" w:type="dxa"/>
            <w:vAlign w:val="center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碩</w:t>
            </w:r>
            <w:proofErr w:type="gramEnd"/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>二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3960" w:type="dxa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技職教育研究法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二</w:t>
            </w:r>
            <w:r w:rsidRPr="00F95718">
              <w:rPr>
                <w:rFonts w:ascii="標楷體" w:hAnsi="標楷體"/>
                <w:sz w:val="24"/>
              </w:rPr>
              <w:t>)（2/2）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技職教育理論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二</w:t>
            </w:r>
            <w:r w:rsidRPr="00F95718">
              <w:rPr>
                <w:rFonts w:ascii="標楷體" w:hAnsi="標楷體"/>
                <w:sz w:val="24"/>
              </w:rPr>
              <w:t>)（2/2）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技職教育課程（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書報討論</w:t>
            </w:r>
            <w:r w:rsidRPr="00F95718">
              <w:rPr>
                <w:rFonts w:ascii="標楷體" w:hAnsi="標楷體"/>
                <w:sz w:val="24"/>
              </w:rPr>
              <w:t>(</w:t>
            </w:r>
            <w:r w:rsidRPr="00F95718">
              <w:rPr>
                <w:rFonts w:ascii="標楷體" w:hAnsi="標楷體" w:hint="eastAsia"/>
                <w:sz w:val="24"/>
              </w:rPr>
              <w:t>二</w:t>
            </w:r>
            <w:r w:rsidRPr="00F95718">
              <w:rPr>
                <w:rFonts w:ascii="標楷體" w:hAnsi="標楷體"/>
                <w:sz w:val="24"/>
              </w:rPr>
              <w:t>)（1/1）</w:t>
            </w:r>
          </w:p>
        </w:tc>
        <w:tc>
          <w:tcPr>
            <w:tcW w:w="4140" w:type="dxa"/>
            <w:vMerge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/>
                <w:sz w:val="24"/>
              </w:rPr>
            </w:pPr>
          </w:p>
        </w:tc>
      </w:tr>
      <w:tr w:rsidR="00796DF9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1468" w:type="dxa"/>
            <w:vAlign w:val="center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碩</w:t>
            </w:r>
            <w:proofErr w:type="gramEnd"/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三</w:t>
            </w:r>
            <w:proofErr w:type="gramEnd"/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3960" w:type="dxa"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技職教學評量理論與實務（</w:t>
            </w:r>
            <w:r w:rsidRPr="00F95718">
              <w:rPr>
                <w:rFonts w:ascii="標楷體" w:hAnsi="標楷體"/>
                <w:sz w:val="24"/>
              </w:rPr>
              <w:t>2/2</w:t>
            </w:r>
            <w:r w:rsidRPr="00F95718">
              <w:rPr>
                <w:rFonts w:ascii="標楷體" w:hAnsi="標楷體" w:hint="eastAsia"/>
                <w:sz w:val="24"/>
              </w:rPr>
              <w:t>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 w:hint="eastAsia"/>
                <w:sz w:val="24"/>
              </w:rPr>
            </w:pP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論文指導（</w:t>
            </w:r>
            <w:r w:rsidRPr="00F95718">
              <w:rPr>
                <w:rFonts w:ascii="標楷體" w:hAnsi="標楷體"/>
                <w:sz w:val="24"/>
              </w:rPr>
              <w:t>4</w:t>
            </w:r>
            <w:r w:rsidRPr="00F95718">
              <w:rPr>
                <w:rFonts w:ascii="標楷體" w:hAnsi="標楷體" w:hint="eastAsia"/>
                <w:sz w:val="24"/>
              </w:rPr>
              <w:t>/0）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  <w:r w:rsidRPr="00F95718">
              <w:rPr>
                <w:rFonts w:ascii="標楷體" w:hAnsi="標楷體" w:hint="eastAsia"/>
                <w:sz w:val="24"/>
              </w:rPr>
              <w:t xml:space="preserve">  </w:t>
            </w:r>
            <w:proofErr w:type="gramStart"/>
            <w:r w:rsidRPr="00F95718">
              <w:rPr>
                <w:rFonts w:ascii="標楷體" w:hAnsi="標楷體" w:hint="eastAsia"/>
                <w:sz w:val="24"/>
              </w:rPr>
              <w:t>▓</w:t>
            </w:r>
            <w:proofErr w:type="gramEnd"/>
            <w:r w:rsidRPr="00F95718">
              <w:rPr>
                <w:rFonts w:ascii="標楷體" w:hAnsi="標楷體" w:hint="eastAsia"/>
                <w:sz w:val="24"/>
              </w:rPr>
              <w:t>論文（0/0）</w:t>
            </w: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rPr>
                <w:rFonts w:ascii="標楷體" w:hAnsi="標楷體" w:hint="eastAsia"/>
                <w:sz w:val="24"/>
              </w:rPr>
            </w:pPr>
          </w:p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4140" w:type="dxa"/>
            <w:vMerge/>
          </w:tcPr>
          <w:p w:rsidR="00796DF9" w:rsidRPr="00F95718" w:rsidRDefault="00796DF9" w:rsidP="002548B2">
            <w:pPr>
              <w:adjustRightInd/>
              <w:snapToGrid/>
              <w:spacing w:line="400" w:lineRule="atLeast"/>
              <w:ind w:firstLineChars="0" w:firstLine="240"/>
              <w:rPr>
                <w:rFonts w:ascii="標楷體" w:hAnsi="標楷體"/>
                <w:sz w:val="24"/>
              </w:rPr>
            </w:pPr>
          </w:p>
        </w:tc>
      </w:tr>
      <w:tr w:rsidR="00796DF9" w:rsidRPr="00F95718" w:rsidTr="002548B2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:rsidR="00796DF9" w:rsidRPr="00F95718" w:rsidRDefault="00796DF9" w:rsidP="00796DF9">
            <w:pPr>
              <w:ind w:leftChars="150" w:left="960" w:hangingChars="225" w:hanging="540"/>
              <w:jc w:val="left"/>
              <w:rPr>
                <w:position w:val="14"/>
                <w:sz w:val="24"/>
              </w:rPr>
            </w:pPr>
            <w:r w:rsidRPr="00F95718">
              <w:rPr>
                <w:position w:val="14"/>
                <w:sz w:val="24"/>
              </w:rPr>
              <w:t>一、「論文指導」學時數由各指導教授安排。</w:t>
            </w:r>
          </w:p>
          <w:p w:rsidR="00796DF9" w:rsidRPr="00F95718" w:rsidRDefault="00796DF9" w:rsidP="00796DF9">
            <w:pPr>
              <w:ind w:leftChars="150" w:left="960" w:hangingChars="225" w:hanging="540"/>
              <w:jc w:val="left"/>
              <w:rPr>
                <w:position w:val="14"/>
                <w:sz w:val="24"/>
              </w:rPr>
            </w:pPr>
            <w:r w:rsidRPr="00F95718">
              <w:rPr>
                <w:position w:val="14"/>
                <w:sz w:val="24"/>
              </w:rPr>
              <w:t>二、當學</w:t>
            </w:r>
            <w:r w:rsidRPr="00F95718">
              <w:rPr>
                <w:position w:val="14"/>
                <w:sz w:val="24"/>
              </w:rPr>
              <w:t>(</w:t>
            </w:r>
            <w:r w:rsidRPr="00F95718">
              <w:rPr>
                <w:position w:val="14"/>
                <w:sz w:val="24"/>
              </w:rPr>
              <w:t>暑</w:t>
            </w:r>
            <w:r w:rsidRPr="00F95718">
              <w:rPr>
                <w:position w:val="14"/>
                <w:sz w:val="24"/>
              </w:rPr>
              <w:t>)</w:t>
            </w:r>
            <w:r w:rsidRPr="00F95718">
              <w:rPr>
                <w:position w:val="14"/>
                <w:sz w:val="24"/>
              </w:rPr>
              <w:t>期申請學位考試者，務必選修「論文」，</w:t>
            </w:r>
            <w:proofErr w:type="gramStart"/>
            <w:r w:rsidRPr="00F95718">
              <w:rPr>
                <w:position w:val="14"/>
                <w:sz w:val="24"/>
              </w:rPr>
              <w:t>俾</w:t>
            </w:r>
            <w:proofErr w:type="gramEnd"/>
            <w:r w:rsidRPr="00F95718">
              <w:rPr>
                <w:position w:val="14"/>
                <w:sz w:val="24"/>
              </w:rPr>
              <w:t>便取得口試之資格。</w:t>
            </w:r>
          </w:p>
          <w:p w:rsidR="00796DF9" w:rsidRPr="00F95718" w:rsidRDefault="00796DF9" w:rsidP="00796DF9">
            <w:pPr>
              <w:ind w:leftChars="150" w:left="960" w:hangingChars="225" w:hanging="540"/>
              <w:jc w:val="left"/>
              <w:rPr>
                <w:rFonts w:ascii="標楷體" w:eastAsia="新細明體" w:hAnsi="標楷體"/>
                <w:sz w:val="24"/>
              </w:rPr>
            </w:pPr>
            <w:r w:rsidRPr="00F95718">
              <w:rPr>
                <w:sz w:val="24"/>
              </w:rPr>
              <w:t>三、最低畢業學分數</w:t>
            </w:r>
            <w:r w:rsidRPr="00F95718">
              <w:rPr>
                <w:sz w:val="24"/>
              </w:rPr>
              <w:t>36</w:t>
            </w:r>
            <w:r w:rsidRPr="00F95718">
              <w:rPr>
                <w:sz w:val="24"/>
              </w:rPr>
              <w:t>學分</w:t>
            </w:r>
            <w:r w:rsidRPr="00F95718">
              <w:rPr>
                <w:sz w:val="24"/>
              </w:rPr>
              <w:t>(</w:t>
            </w:r>
            <w:r w:rsidRPr="00F95718">
              <w:rPr>
                <w:sz w:val="24"/>
              </w:rPr>
              <w:t>含論文指導</w:t>
            </w:r>
            <w:r w:rsidRPr="00F95718">
              <w:rPr>
                <w:sz w:val="24"/>
              </w:rPr>
              <w:t>4</w:t>
            </w:r>
            <w:r w:rsidRPr="00F95718">
              <w:rPr>
                <w:sz w:val="24"/>
              </w:rPr>
              <w:t>學分</w:t>
            </w:r>
            <w:r w:rsidRPr="00F95718">
              <w:rPr>
                <w:sz w:val="24"/>
              </w:rPr>
              <w:t>)</w:t>
            </w:r>
            <w:r w:rsidRPr="00F95718">
              <w:rPr>
                <w:sz w:val="24"/>
              </w:rPr>
              <w:t>。</w:t>
            </w:r>
          </w:p>
        </w:tc>
      </w:tr>
    </w:tbl>
    <w:p w:rsidR="00796DF9" w:rsidRDefault="00796DF9" w:rsidP="00796DF9">
      <w:pPr>
        <w:ind w:leftChars="-50" w:left="-140" w:firstLineChars="0" w:firstLine="2"/>
        <w:jc w:val="center"/>
      </w:pPr>
    </w:p>
    <w:p w:rsidR="00796DF9" w:rsidRDefault="00796DF9" w:rsidP="00796DF9">
      <w:pPr>
        <w:ind w:firstLine="560"/>
      </w:pPr>
      <w:r>
        <w:br w:type="page"/>
      </w:r>
    </w:p>
    <w:tbl>
      <w:tblPr>
        <w:tblW w:w="0" w:type="auto"/>
        <w:tblInd w:w="10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5"/>
        <w:gridCol w:w="5839"/>
        <w:gridCol w:w="2839"/>
      </w:tblGrid>
      <w:tr w:rsidR="00826ED9" w:rsidTr="002548B2">
        <w:tc>
          <w:tcPr>
            <w:tcW w:w="965" w:type="dxa"/>
            <w:gridSpan w:val="2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lastRenderedPageBreak/>
              <w:t>課程設計說明</w:t>
            </w:r>
          </w:p>
        </w:tc>
        <w:tc>
          <w:tcPr>
            <w:tcW w:w="8678" w:type="dxa"/>
            <w:gridSpan w:val="2"/>
            <w:shd w:val="clear" w:color="auto" w:fill="FFEEDD"/>
          </w:tcPr>
          <w:p w:rsidR="00826ED9" w:rsidRPr="00D84AC0" w:rsidRDefault="00826ED9" w:rsidP="00826ED9">
            <w:pPr>
              <w:numPr>
                <w:ilvl w:val="0"/>
                <w:numId w:val="1"/>
              </w:numPr>
              <w:ind w:left="628" w:firstLineChars="0" w:hanging="628"/>
              <w:rPr>
                <w:rFonts w:hint="eastAsia"/>
                <w:sz w:val="24"/>
              </w:rPr>
            </w:pPr>
            <w:r w:rsidRPr="00D84AC0">
              <w:rPr>
                <w:rFonts w:hint="eastAsia"/>
                <w:sz w:val="24"/>
              </w:rPr>
              <w:t>暑期班課程設計</w:t>
            </w:r>
            <w:r w:rsidRPr="00D84AC0">
              <w:rPr>
                <w:sz w:val="24"/>
              </w:rPr>
              <w:t>以</w:t>
            </w:r>
            <w:r w:rsidRPr="00D84AC0">
              <w:rPr>
                <w:rFonts w:hint="eastAsia"/>
                <w:sz w:val="24"/>
              </w:rPr>
              <w:t>提供進修人士所需之</w:t>
            </w:r>
            <w:r>
              <w:rPr>
                <w:sz w:val="24"/>
              </w:rPr>
              <w:t>理論與實務</w:t>
            </w:r>
            <w:r w:rsidRPr="00D84AC0">
              <w:rPr>
                <w:sz w:val="24"/>
              </w:rPr>
              <w:t>目標</w:t>
            </w:r>
            <w:r w:rsidRPr="00D84AC0">
              <w:rPr>
                <w:rFonts w:hint="eastAsia"/>
                <w:sz w:val="24"/>
              </w:rPr>
              <w:t>為</w:t>
            </w:r>
            <w:r w:rsidRPr="00D84AC0">
              <w:rPr>
                <w:sz w:val="24"/>
              </w:rPr>
              <w:t>導向，透過專業技術能力測驗課程的評量，確保學生的學習成效，使學生所學達到一定的水準。</w:t>
            </w:r>
          </w:p>
          <w:p w:rsidR="00826ED9" w:rsidRPr="00BF61A4" w:rsidRDefault="00826ED9" w:rsidP="00826ED9">
            <w:pPr>
              <w:numPr>
                <w:ilvl w:val="0"/>
                <w:numId w:val="1"/>
              </w:numPr>
              <w:ind w:left="628" w:firstLineChars="0" w:hanging="628"/>
              <w:rPr>
                <w:rFonts w:hint="eastAsia"/>
                <w:b/>
                <w:bCs/>
              </w:rPr>
            </w:pPr>
            <w:r w:rsidRPr="00D84AC0">
              <w:rPr>
                <w:rFonts w:hint="eastAsia"/>
                <w:sz w:val="24"/>
              </w:rPr>
              <w:t>課程設計在必修方面，</w:t>
            </w:r>
            <w:r>
              <w:rPr>
                <w:rFonts w:hint="eastAsia"/>
                <w:sz w:val="24"/>
              </w:rPr>
              <w:t>訂定共同必修課程</w:t>
            </w:r>
            <w:r>
              <w:rPr>
                <w:rFonts w:hint="eastAsia"/>
                <w:sz w:val="24"/>
              </w:rPr>
              <w:t>22</w:t>
            </w:r>
            <w:r w:rsidRPr="00D84AC0">
              <w:rPr>
                <w:rFonts w:hint="eastAsia"/>
                <w:sz w:val="24"/>
              </w:rPr>
              <w:t>學分</w:t>
            </w:r>
            <w:r>
              <w:rPr>
                <w:rFonts w:hint="eastAsia"/>
                <w:sz w:val="24"/>
              </w:rPr>
              <w:t>、</w:t>
            </w:r>
            <w:r w:rsidRPr="00D84AC0">
              <w:rPr>
                <w:rFonts w:hint="eastAsia"/>
                <w:sz w:val="24"/>
              </w:rPr>
              <w:t>選修</w:t>
            </w:r>
            <w:r>
              <w:rPr>
                <w:rFonts w:hint="eastAsia"/>
                <w:sz w:val="24"/>
              </w:rPr>
              <w:t>課程</w:t>
            </w:r>
            <w:r>
              <w:rPr>
                <w:rFonts w:hint="eastAsia"/>
                <w:sz w:val="24"/>
              </w:rPr>
              <w:t>14</w:t>
            </w:r>
            <w:r w:rsidRPr="00D84AC0">
              <w:rPr>
                <w:rFonts w:hint="eastAsia"/>
                <w:sz w:val="24"/>
              </w:rPr>
              <w:t>學分。</w:t>
            </w:r>
          </w:p>
        </w:tc>
      </w:tr>
      <w:tr w:rsidR="00826ED9" w:rsidTr="002548B2">
        <w:tc>
          <w:tcPr>
            <w:tcW w:w="480" w:type="dxa"/>
            <w:vMerge w:val="restart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課程內容</w:t>
            </w:r>
          </w:p>
        </w:tc>
        <w:tc>
          <w:tcPr>
            <w:tcW w:w="485" w:type="dxa"/>
            <w:vMerge w:val="restart"/>
            <w:shd w:val="clear" w:color="auto" w:fill="FFEEDD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sz w:val="24"/>
              </w:rPr>
            </w:pPr>
          </w:p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sz w:val="24"/>
              </w:rPr>
            </w:pPr>
            <w:r w:rsidRPr="00BF61A4">
              <w:rPr>
                <w:rFonts w:hint="eastAsia"/>
                <w:b/>
                <w:sz w:val="24"/>
              </w:rPr>
              <w:t>碩</w:t>
            </w:r>
            <w:proofErr w:type="gramStart"/>
            <w:r w:rsidRPr="00BF61A4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5839" w:type="dxa"/>
            <w:shd w:val="clear" w:color="auto" w:fill="FFEEDD"/>
          </w:tcPr>
          <w:p w:rsidR="00826ED9" w:rsidRDefault="00826ED9" w:rsidP="002548B2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共同必修課程【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學分】</w:t>
            </w:r>
          </w:p>
        </w:tc>
        <w:tc>
          <w:tcPr>
            <w:tcW w:w="2839" w:type="dxa"/>
            <w:shd w:val="clear" w:color="auto" w:fill="FFEEDD"/>
          </w:tcPr>
          <w:p w:rsidR="00826ED9" w:rsidRDefault="00826ED9" w:rsidP="002548B2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選修課程【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學分】</w:t>
            </w:r>
          </w:p>
        </w:tc>
      </w:tr>
      <w:tr w:rsidR="00826ED9" w:rsidTr="002548B2">
        <w:trPr>
          <w:trHeight w:val="996"/>
        </w:trPr>
        <w:tc>
          <w:tcPr>
            <w:tcW w:w="480" w:type="dxa"/>
            <w:vMerge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dxa"/>
            <w:vMerge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678" w:type="dxa"/>
            <w:gridSpan w:val="2"/>
            <w:vMerge w:val="restart"/>
            <w:shd w:val="clear" w:color="auto" w:fill="FFEEDD"/>
          </w:tcPr>
          <w:p w:rsidR="00826ED9" w:rsidRDefault="00826ED9" w:rsidP="002548B2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362575" cy="32385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ED9" w:rsidTr="002548B2">
        <w:trPr>
          <w:trHeight w:val="1394"/>
        </w:trPr>
        <w:tc>
          <w:tcPr>
            <w:tcW w:w="480" w:type="dxa"/>
            <w:vMerge/>
            <w:shd w:val="clear" w:color="auto" w:fill="FFEEDD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dxa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  <w:r w:rsidRPr="00BF61A4">
              <w:rPr>
                <w:rFonts w:hint="eastAsia"/>
                <w:b/>
                <w:sz w:val="24"/>
              </w:rPr>
              <w:t>碩二</w:t>
            </w:r>
          </w:p>
        </w:tc>
        <w:tc>
          <w:tcPr>
            <w:tcW w:w="8678" w:type="dxa"/>
            <w:gridSpan w:val="2"/>
            <w:vMerge/>
            <w:shd w:val="clear" w:color="auto" w:fill="FFEEDD"/>
          </w:tcPr>
          <w:p w:rsidR="00826ED9" w:rsidRDefault="00826ED9" w:rsidP="002548B2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826ED9" w:rsidTr="002548B2">
        <w:tc>
          <w:tcPr>
            <w:tcW w:w="480" w:type="dxa"/>
            <w:vMerge/>
            <w:shd w:val="clear" w:color="auto" w:fill="FFEEDD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dxa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  <w:r w:rsidRPr="00BF61A4">
              <w:rPr>
                <w:rFonts w:hint="eastAsia"/>
                <w:b/>
                <w:sz w:val="24"/>
              </w:rPr>
              <w:t>碩三</w:t>
            </w:r>
          </w:p>
        </w:tc>
        <w:tc>
          <w:tcPr>
            <w:tcW w:w="8678" w:type="dxa"/>
            <w:gridSpan w:val="2"/>
            <w:vMerge/>
            <w:shd w:val="clear" w:color="auto" w:fill="FFEEDD"/>
          </w:tcPr>
          <w:p w:rsidR="00826ED9" w:rsidRDefault="00826ED9" w:rsidP="002548B2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826ED9" w:rsidTr="002548B2">
        <w:tc>
          <w:tcPr>
            <w:tcW w:w="965" w:type="dxa"/>
            <w:gridSpan w:val="2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通識及其他</w:t>
            </w:r>
          </w:p>
        </w:tc>
        <w:tc>
          <w:tcPr>
            <w:tcW w:w="8678" w:type="dxa"/>
            <w:gridSpan w:val="2"/>
            <w:shd w:val="clear" w:color="auto" w:fill="FFEEDD"/>
          </w:tcPr>
          <w:p w:rsidR="00826ED9" w:rsidRPr="00BF61A4" w:rsidRDefault="00826ED9" w:rsidP="002548B2">
            <w:pPr>
              <w:ind w:firstLineChars="0" w:firstLine="0"/>
              <w:rPr>
                <w:rFonts w:hint="eastAsia"/>
                <w:sz w:val="24"/>
              </w:rPr>
            </w:pPr>
            <w:r w:rsidRPr="00BF61A4">
              <w:rPr>
                <w:rFonts w:hint="eastAsia"/>
                <w:sz w:val="24"/>
              </w:rPr>
              <w:t>一、多元能力之培養</w:t>
            </w:r>
            <w:r w:rsidRPr="00BF61A4">
              <w:rPr>
                <w:rFonts w:hint="eastAsia"/>
                <w:sz w:val="24"/>
              </w:rPr>
              <w:t>(</w:t>
            </w:r>
            <w:r w:rsidRPr="00BF61A4">
              <w:rPr>
                <w:rFonts w:hint="eastAsia"/>
                <w:sz w:val="24"/>
              </w:rPr>
              <w:t>建議修習</w:t>
            </w:r>
            <w:r w:rsidRPr="00BF61A4">
              <w:rPr>
                <w:rFonts w:hint="eastAsia"/>
                <w:sz w:val="24"/>
              </w:rPr>
              <w:t>)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1.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溝通表達能力與</w:t>
            </w:r>
            <w:r w:rsidRPr="00BF61A4">
              <w:rPr>
                <w:sz w:val="24"/>
              </w:rPr>
              <w:t>EQ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2.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邏輯、批判、思考與創造力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3.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社區參與、團隊精神組織能力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4.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全球意識與國際化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5.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社會與倫理反思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rFonts w:hint="eastAsia"/>
                <w:sz w:val="24"/>
              </w:rPr>
            </w:pPr>
            <w:r w:rsidRPr="00BF61A4">
              <w:rPr>
                <w:sz w:val="24"/>
              </w:rPr>
              <w:t>6.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多元文史與藝術涵養</w:t>
            </w:r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sz w:val="24"/>
              </w:rPr>
            </w:pPr>
            <w:r w:rsidRPr="00BF61A4">
              <w:rPr>
                <w:sz w:val="24"/>
              </w:rPr>
              <w:t>7.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自然科學思維</w:t>
            </w:r>
            <w:proofErr w:type="gramStart"/>
            <w:r w:rsidRPr="00BF61A4">
              <w:rPr>
                <w:sz w:val="24"/>
              </w:rPr>
              <w:t>與理悟</w:t>
            </w:r>
            <w:proofErr w:type="gramEnd"/>
            <w:r w:rsidRPr="00BF61A4">
              <w:rPr>
                <w:rFonts w:hint="eastAsia"/>
                <w:sz w:val="24"/>
              </w:rPr>
              <w:t>。</w:t>
            </w:r>
          </w:p>
          <w:p w:rsidR="00826ED9" w:rsidRPr="00BF61A4" w:rsidRDefault="00826ED9" w:rsidP="002548B2">
            <w:pPr>
              <w:ind w:firstLineChars="0" w:firstLine="0"/>
              <w:rPr>
                <w:sz w:val="24"/>
              </w:rPr>
            </w:pPr>
            <w:r w:rsidRPr="00BF61A4">
              <w:rPr>
                <w:rFonts w:hint="eastAsia"/>
                <w:sz w:val="24"/>
              </w:rPr>
              <w:t>二、通</w:t>
            </w:r>
            <w:proofErr w:type="gramStart"/>
            <w:r w:rsidRPr="00BF61A4">
              <w:rPr>
                <w:rFonts w:hint="eastAsia"/>
                <w:sz w:val="24"/>
              </w:rPr>
              <w:t>識課群</w:t>
            </w:r>
            <w:proofErr w:type="gramEnd"/>
            <w:r w:rsidRPr="00BF61A4">
              <w:rPr>
                <w:rFonts w:hint="eastAsia"/>
                <w:sz w:val="24"/>
              </w:rPr>
              <w:t>(</w:t>
            </w:r>
            <w:r w:rsidRPr="00BF61A4">
              <w:rPr>
                <w:rFonts w:hint="eastAsia"/>
                <w:sz w:val="24"/>
              </w:rPr>
              <w:t>建議修習</w:t>
            </w:r>
            <w:r w:rsidRPr="00BF61A4">
              <w:rPr>
                <w:rFonts w:hint="eastAsia"/>
                <w:sz w:val="24"/>
              </w:rPr>
              <w:t>)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sz w:val="24"/>
              </w:rPr>
            </w:pPr>
            <w:r w:rsidRPr="00BF61A4">
              <w:rPr>
                <w:sz w:val="24"/>
              </w:rPr>
              <w:t>1.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建議學習通識課程中溝通表達、批判思考與方法論</w:t>
            </w:r>
            <w:proofErr w:type="gramStart"/>
            <w:r w:rsidRPr="00BF61A4">
              <w:rPr>
                <w:sz w:val="24"/>
              </w:rPr>
              <w:t>等課群</w:t>
            </w:r>
            <w:proofErr w:type="gramEnd"/>
            <w:r w:rsidRPr="00BF61A4">
              <w:rPr>
                <w:sz w:val="24"/>
              </w:rPr>
              <w:t>。</w:t>
            </w:r>
          </w:p>
          <w:p w:rsidR="00826ED9" w:rsidRPr="00BF61A4" w:rsidRDefault="00826ED9" w:rsidP="002548B2">
            <w:pPr>
              <w:ind w:leftChars="173" w:left="484" w:firstLineChars="0" w:firstLine="0"/>
              <w:rPr>
                <w:sz w:val="24"/>
              </w:rPr>
            </w:pPr>
            <w:r w:rsidRPr="00BF61A4">
              <w:rPr>
                <w:sz w:val="24"/>
              </w:rPr>
              <w:t>2.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建議</w:t>
            </w:r>
            <w:proofErr w:type="gramStart"/>
            <w:r w:rsidRPr="00BF61A4">
              <w:rPr>
                <w:sz w:val="24"/>
              </w:rPr>
              <w:t>研</w:t>
            </w:r>
            <w:proofErr w:type="gramEnd"/>
            <w:r w:rsidRPr="00BF61A4">
              <w:rPr>
                <w:sz w:val="24"/>
              </w:rPr>
              <w:t>修</w:t>
            </w:r>
            <w:proofErr w:type="gramStart"/>
            <w:r w:rsidRPr="00BF61A4">
              <w:rPr>
                <w:sz w:val="24"/>
              </w:rPr>
              <w:t>通識課程中之法律學課群</w:t>
            </w:r>
            <w:proofErr w:type="gramEnd"/>
            <w:r w:rsidRPr="00BF61A4">
              <w:rPr>
                <w:sz w:val="24"/>
              </w:rPr>
              <w:t>，以加強法律知識，如智慧財產權。</w:t>
            </w:r>
          </w:p>
          <w:p w:rsidR="00826ED9" w:rsidRPr="00BF61A4" w:rsidRDefault="00826ED9" w:rsidP="002548B2">
            <w:pPr>
              <w:ind w:leftChars="172" w:left="768" w:hangingChars="119" w:hanging="286"/>
              <w:rPr>
                <w:sz w:val="24"/>
              </w:rPr>
            </w:pPr>
            <w:r w:rsidRPr="00BF61A4">
              <w:rPr>
                <w:sz w:val="24"/>
              </w:rPr>
              <w:t>3.</w:t>
            </w:r>
            <w:r w:rsidRPr="00BF61A4">
              <w:rPr>
                <w:rFonts w:hint="eastAsia"/>
                <w:sz w:val="24"/>
              </w:rPr>
              <w:t xml:space="preserve"> </w:t>
            </w:r>
            <w:r w:rsidRPr="00BF61A4">
              <w:rPr>
                <w:sz w:val="24"/>
              </w:rPr>
              <w:t>建議</w:t>
            </w:r>
            <w:proofErr w:type="gramStart"/>
            <w:r w:rsidRPr="00BF61A4">
              <w:rPr>
                <w:sz w:val="24"/>
              </w:rPr>
              <w:t>研</w:t>
            </w:r>
            <w:proofErr w:type="gramEnd"/>
            <w:r w:rsidRPr="00BF61A4">
              <w:rPr>
                <w:sz w:val="24"/>
              </w:rPr>
              <w:t>修通識課程中之前</w:t>
            </w:r>
            <w:proofErr w:type="gramStart"/>
            <w:r w:rsidRPr="00BF61A4">
              <w:rPr>
                <w:sz w:val="24"/>
              </w:rPr>
              <w:t>瞻</w:t>
            </w:r>
            <w:r w:rsidRPr="00BF61A4">
              <w:rPr>
                <w:rFonts w:hint="eastAsia"/>
                <w:sz w:val="24"/>
              </w:rPr>
              <w:t>教育</w:t>
            </w:r>
            <w:r w:rsidRPr="00BF61A4">
              <w:rPr>
                <w:sz w:val="24"/>
              </w:rPr>
              <w:t>課群</w:t>
            </w:r>
            <w:proofErr w:type="gramEnd"/>
            <w:r w:rsidRPr="00BF61A4">
              <w:rPr>
                <w:sz w:val="24"/>
              </w:rPr>
              <w:t>，學習以不同角度著眼與分析未來趨勢，並了解未來科技之挑戰與前景。</w:t>
            </w:r>
          </w:p>
        </w:tc>
      </w:tr>
      <w:tr w:rsidR="00826ED9" w:rsidTr="002548B2">
        <w:tc>
          <w:tcPr>
            <w:tcW w:w="965" w:type="dxa"/>
            <w:gridSpan w:val="2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生涯</w:t>
            </w:r>
          </w:p>
          <w:p w:rsidR="00826ED9" w:rsidRPr="00BF61A4" w:rsidRDefault="00826ED9" w:rsidP="002548B2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 w:rsidRPr="00BF61A4">
              <w:rPr>
                <w:rFonts w:hint="eastAsia"/>
                <w:b/>
                <w:bCs/>
                <w:sz w:val="24"/>
              </w:rPr>
              <w:t>發展</w:t>
            </w:r>
          </w:p>
        </w:tc>
        <w:tc>
          <w:tcPr>
            <w:tcW w:w="8678" w:type="dxa"/>
            <w:gridSpan w:val="2"/>
            <w:shd w:val="clear" w:color="auto" w:fill="FFEEDD"/>
            <w:vAlign w:val="center"/>
          </w:tcPr>
          <w:p w:rsidR="00826ED9" w:rsidRPr="00BF61A4" w:rsidRDefault="00826ED9" w:rsidP="002548B2">
            <w:pPr>
              <w:ind w:firstLineChars="0" w:firstLine="0"/>
              <w:jc w:val="center"/>
              <w:rPr>
                <w:rFonts w:eastAsia="新細明體"/>
                <w:b/>
                <w:bCs/>
                <w:color w:val="000099"/>
                <w:kern w:val="0"/>
                <w:sz w:val="24"/>
                <w:lang w:val="zh-TW"/>
              </w:rPr>
            </w:pP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國內外</w:t>
            </w:r>
            <w:smartTag w:uri="urn:schemas-microsoft-com:office:smarttags" w:element="PersonName">
              <w:smartTagPr>
                <w:attr w:name="ProductID" w:val="相關系所"/>
              </w:smartTagPr>
              <w:r w:rsidRPr="00BF61A4">
                <w:rPr>
                  <w:bCs/>
                  <w:color w:val="000000"/>
                  <w:kern w:val="0"/>
                  <w:sz w:val="24"/>
                  <w:lang w:val="zh-TW"/>
                </w:rPr>
                <w:t>相關系所</w:t>
              </w:r>
            </w:smartTag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博士班</w:t>
            </w:r>
            <w:r w:rsidRPr="00BF61A4">
              <w:rPr>
                <w:rFonts w:hint="eastAsia"/>
                <w:bCs/>
                <w:color w:val="000000"/>
                <w:kern w:val="0"/>
                <w:sz w:val="24"/>
                <w:lang w:val="zh-TW"/>
              </w:rPr>
              <w:t>、</w:t>
            </w: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中等學校服務</w:t>
            </w:r>
            <w:r w:rsidRPr="00BF61A4">
              <w:rPr>
                <w:rFonts w:hint="eastAsia"/>
                <w:bCs/>
                <w:color w:val="000000"/>
                <w:kern w:val="0"/>
                <w:sz w:val="24"/>
                <w:lang w:val="zh-TW"/>
              </w:rPr>
              <w:t>、</w:t>
            </w: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公務機關服務</w:t>
            </w:r>
            <w:r w:rsidRPr="00BF61A4">
              <w:rPr>
                <w:rFonts w:hint="eastAsia"/>
                <w:bCs/>
                <w:color w:val="000000"/>
                <w:kern w:val="0"/>
                <w:sz w:val="24"/>
                <w:lang w:val="zh-TW"/>
              </w:rPr>
              <w:t>、</w:t>
            </w:r>
            <w:r w:rsidRPr="00BF61A4">
              <w:rPr>
                <w:bCs/>
                <w:color w:val="000000"/>
                <w:kern w:val="0"/>
                <w:sz w:val="24"/>
                <w:lang w:val="zh-TW"/>
              </w:rPr>
              <w:t>企業界服務</w:t>
            </w:r>
          </w:p>
        </w:tc>
      </w:tr>
    </w:tbl>
    <w:p w:rsidR="007B1909" w:rsidRPr="00796DF9" w:rsidRDefault="00826ED9" w:rsidP="00826ED9">
      <w:pPr>
        <w:ind w:firstLineChars="0" w:firstLine="0"/>
        <w:jc w:val="center"/>
      </w:pPr>
      <w:bookmarkStart w:id="3" w:name="_Toc312083659"/>
      <w:bookmarkStart w:id="4" w:name="_Toc316072035"/>
      <w:bookmarkStart w:id="5" w:name="_Toc316072173"/>
      <w:r w:rsidRPr="001247F1">
        <w:rPr>
          <w:rFonts w:hAnsi="標楷體"/>
        </w:rPr>
        <w:t>「工業教育教學」碩士班課程地</w:t>
      </w:r>
      <w:bookmarkStart w:id="6" w:name="_GoBack"/>
      <w:bookmarkEnd w:id="6"/>
      <w:r w:rsidRPr="001247F1">
        <w:rPr>
          <w:rFonts w:hAnsi="標楷體"/>
        </w:rPr>
        <w:t>圖－適用</w:t>
      </w:r>
      <w:r w:rsidRPr="001247F1">
        <w:t>100</w:t>
      </w:r>
      <w:r w:rsidRPr="001247F1">
        <w:rPr>
          <w:rFonts w:hAnsi="標楷體"/>
        </w:rPr>
        <w:t>學年度入學學生</w:t>
      </w:r>
      <w:bookmarkEnd w:id="3"/>
      <w:bookmarkEnd w:id="4"/>
      <w:bookmarkEnd w:id="5"/>
    </w:p>
    <w:sectPr w:rsidR="007B1909" w:rsidRPr="00796DF9" w:rsidSect="00796DF9">
      <w:pgSz w:w="11906" w:h="16838"/>
      <w:pgMar w:top="1134" w:right="1128" w:bottom="1134" w:left="112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C4C"/>
    <w:multiLevelType w:val="hybridMultilevel"/>
    <w:tmpl w:val="BDA048BC"/>
    <w:lvl w:ilvl="0" w:tplc="E4E85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9"/>
    <w:rsid w:val="00796DF9"/>
    <w:rsid w:val="007B1909"/>
    <w:rsid w:val="008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9"/>
    <w:pPr>
      <w:widowControl w:val="0"/>
      <w:adjustRightInd w:val="0"/>
      <w:snapToGrid w:val="0"/>
      <w:spacing w:line="440" w:lineRule="atLeas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qFormat/>
    <w:rsid w:val="00796DF9"/>
    <w:pPr>
      <w:autoSpaceDE w:val="0"/>
      <w:autoSpaceDN w:val="0"/>
      <w:ind w:left="480" w:hangingChars="200" w:hanging="480"/>
      <w:jc w:val="center"/>
    </w:pPr>
    <w:rPr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26E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E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9"/>
    <w:pPr>
      <w:widowControl w:val="0"/>
      <w:adjustRightInd w:val="0"/>
      <w:snapToGrid w:val="0"/>
      <w:spacing w:line="440" w:lineRule="atLeas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qFormat/>
    <w:rsid w:val="00796DF9"/>
    <w:pPr>
      <w:autoSpaceDE w:val="0"/>
      <w:autoSpaceDN w:val="0"/>
      <w:ind w:left="480" w:hangingChars="200" w:hanging="480"/>
      <w:jc w:val="center"/>
    </w:pPr>
    <w:rPr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26E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2012-07-17T08:07:00Z</dcterms:created>
  <dcterms:modified xsi:type="dcterms:W3CDTF">2012-07-17T08:10:00Z</dcterms:modified>
</cp:coreProperties>
</file>